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6D" w:rsidRDefault="00EA246D" w:rsidP="00236178">
      <w:pPr>
        <w:pStyle w:val="Title"/>
        <w:spacing w:after="240"/>
        <w:rPr>
          <w:sz w:val="28"/>
        </w:rPr>
      </w:pPr>
      <w:bookmarkStart w:id="0" w:name="_GoBack"/>
      <w:bookmarkEnd w:id="0"/>
      <w:r>
        <w:rPr>
          <w:sz w:val="28"/>
        </w:rPr>
        <w:t xml:space="preserve">SUPREME COURT OF </w:t>
      </w:r>
      <w:smartTag w:uri="urn:schemas-microsoft-com:office:smarttags" w:element="State">
        <w:smartTag w:uri="urn:schemas-microsoft-com:office:smarttags" w:element="place">
          <w:r>
            <w:rPr>
              <w:sz w:val="28"/>
            </w:rPr>
            <w:t>YUKON</w:t>
          </w:r>
        </w:smartTag>
      </w:smartTag>
      <w:r>
        <w:rPr>
          <w:sz w:val="28"/>
        </w:rPr>
        <w:t xml:space="preserve"> </w:t>
      </w:r>
    </w:p>
    <w:tbl>
      <w:tblPr>
        <w:tblW w:w="0" w:type="auto"/>
        <w:tblLook w:val="01E0" w:firstRow="1" w:lastRow="1" w:firstColumn="1" w:lastColumn="1" w:noHBand="0" w:noVBand="0"/>
      </w:tblPr>
      <w:tblGrid>
        <w:gridCol w:w="4785"/>
        <w:gridCol w:w="4791"/>
      </w:tblGrid>
      <w:tr w:rsidR="00236178" w:rsidTr="00B4093E">
        <w:tc>
          <w:tcPr>
            <w:tcW w:w="4817" w:type="dxa"/>
            <w:shd w:val="clear" w:color="auto" w:fill="auto"/>
          </w:tcPr>
          <w:p w:rsidR="00236178" w:rsidRPr="00FB022F" w:rsidRDefault="00236178" w:rsidP="0037228D">
            <w:pPr>
              <w:tabs>
                <w:tab w:val="left" w:pos="969"/>
                <w:tab w:val="right" w:pos="9405"/>
              </w:tabs>
              <w:spacing w:before="240"/>
            </w:pPr>
            <w:r>
              <w:t>Citation: </w:t>
            </w:r>
            <w:r w:rsidR="0037228D" w:rsidRPr="002D6E16">
              <w:rPr>
                <w:i/>
              </w:rPr>
              <w:t>Takhini Hotsprings Ltd.</w:t>
            </w:r>
            <w:r w:rsidR="004779ED" w:rsidRPr="002D6E16">
              <w:rPr>
                <w:i/>
              </w:rPr>
              <w:t xml:space="preserve"> </w:t>
            </w:r>
            <w:r w:rsidR="0037228D" w:rsidRPr="002D6E16">
              <w:rPr>
                <w:i/>
              </w:rPr>
              <w:t>v. Government of Yukon</w:t>
            </w:r>
            <w:r w:rsidR="006C65F0">
              <w:t>, 201</w:t>
            </w:r>
            <w:r w:rsidR="00324020">
              <w:t>3</w:t>
            </w:r>
            <w:r w:rsidR="00FB022F">
              <w:t xml:space="preserve"> YKSC </w:t>
            </w:r>
            <w:r w:rsidR="007B2153">
              <w:t>21</w:t>
            </w:r>
          </w:p>
        </w:tc>
        <w:tc>
          <w:tcPr>
            <w:tcW w:w="4817" w:type="dxa"/>
            <w:shd w:val="clear" w:color="auto" w:fill="auto"/>
          </w:tcPr>
          <w:p w:rsidR="00236178" w:rsidRDefault="006C65F0" w:rsidP="007B2153">
            <w:pPr>
              <w:tabs>
                <w:tab w:val="left" w:pos="969"/>
                <w:tab w:val="right" w:pos="9405"/>
              </w:tabs>
              <w:spacing w:before="240"/>
              <w:jc w:val="right"/>
            </w:pPr>
            <w:r>
              <w:t>Date: 20</w:t>
            </w:r>
            <w:r w:rsidR="0084644D">
              <w:t>1</w:t>
            </w:r>
            <w:r w:rsidR="00324020">
              <w:t>3</w:t>
            </w:r>
            <w:r w:rsidR="002D6E16">
              <w:t>03</w:t>
            </w:r>
            <w:r w:rsidR="007B2153">
              <w:t>28</w:t>
            </w:r>
            <w:r w:rsidR="00236178">
              <w:br/>
              <w:t>S.C. No. </w:t>
            </w:r>
            <w:r w:rsidR="0037228D">
              <w:t>12-A0069</w:t>
            </w:r>
            <w:r w:rsidR="00236178">
              <w:br/>
              <w:t>Registry: </w:t>
            </w:r>
            <w:r w:rsidR="00973815">
              <w:t>Whitehorse</w:t>
            </w:r>
            <w:r w:rsidR="00236178">
              <w:br/>
            </w:r>
          </w:p>
        </w:tc>
      </w:tr>
    </w:tbl>
    <w:p w:rsidR="00EA246D" w:rsidRDefault="00EA246D" w:rsidP="00236178">
      <w:pPr>
        <w:spacing w:before="240"/>
      </w:pPr>
      <w:r>
        <w:t>Between:</w:t>
      </w:r>
    </w:p>
    <w:p w:rsidR="00A80EA7" w:rsidRDefault="0037228D" w:rsidP="00A80EA7">
      <w:pPr>
        <w:spacing w:before="240"/>
        <w:jc w:val="center"/>
      </w:pPr>
      <w:r>
        <w:t>TAKHINI HOTSPRINGS LTD.</w:t>
      </w:r>
    </w:p>
    <w:p w:rsidR="00236178" w:rsidRPr="006157F4" w:rsidRDefault="0037228D" w:rsidP="00236178">
      <w:pPr>
        <w:pStyle w:val="BodyText"/>
        <w:spacing w:before="240"/>
        <w:jc w:val="right"/>
        <w:rPr>
          <w:b w:val="0"/>
        </w:rPr>
      </w:pPr>
      <w:r>
        <w:rPr>
          <w:b w:val="0"/>
        </w:rPr>
        <w:t>Petitioner</w:t>
      </w:r>
    </w:p>
    <w:p w:rsidR="00236178" w:rsidRDefault="00236178" w:rsidP="00236178">
      <w:pPr>
        <w:pStyle w:val="BodyText"/>
        <w:spacing w:before="240"/>
        <w:jc w:val="left"/>
        <w:rPr>
          <w:b w:val="0"/>
        </w:rPr>
      </w:pPr>
      <w:r>
        <w:rPr>
          <w:b w:val="0"/>
        </w:rPr>
        <w:t>And</w:t>
      </w:r>
    </w:p>
    <w:p w:rsidR="00A80EA7" w:rsidRDefault="0037228D" w:rsidP="00A80EA7">
      <w:pPr>
        <w:pStyle w:val="BodyText"/>
        <w:spacing w:before="240"/>
        <w:rPr>
          <w:b w:val="0"/>
        </w:rPr>
      </w:pPr>
      <w:r>
        <w:rPr>
          <w:b w:val="0"/>
        </w:rPr>
        <w:t>GOVERNMENT OF YUKON</w:t>
      </w:r>
    </w:p>
    <w:p w:rsidR="00236178" w:rsidRDefault="0037228D" w:rsidP="00236178">
      <w:pPr>
        <w:pStyle w:val="BodyText"/>
        <w:spacing w:before="240"/>
        <w:jc w:val="right"/>
        <w:rPr>
          <w:b w:val="0"/>
        </w:rPr>
      </w:pPr>
      <w:r>
        <w:rPr>
          <w:b w:val="0"/>
        </w:rPr>
        <w:t>Respondent</w:t>
      </w:r>
    </w:p>
    <w:p w:rsidR="0037228D" w:rsidRDefault="00EA246D" w:rsidP="003D1F88">
      <w:pPr>
        <w:pStyle w:val="Header"/>
        <w:tabs>
          <w:tab w:val="clear" w:pos="4320"/>
          <w:tab w:val="clear" w:pos="8640"/>
          <w:tab w:val="right" w:pos="9405"/>
        </w:tabs>
        <w:spacing w:before="400"/>
      </w:pPr>
      <w:r>
        <w:t>Before: Mr.</w:t>
      </w:r>
      <w:r w:rsidR="00236178">
        <w:t> </w:t>
      </w:r>
      <w:r>
        <w:t xml:space="preserve">Justice </w:t>
      </w:r>
      <w:r w:rsidR="0037228D">
        <w:t>R.S. Veale</w:t>
      </w:r>
    </w:p>
    <w:p w:rsidR="00EA246D" w:rsidRDefault="00EA246D" w:rsidP="008971D0">
      <w:pPr>
        <w:spacing w:before="440" w:after="120"/>
      </w:pPr>
      <w:r>
        <w:t>Appearances:</w:t>
      </w:r>
    </w:p>
    <w:tbl>
      <w:tblPr>
        <w:tblW w:w="0" w:type="auto"/>
        <w:tblLook w:val="01E0" w:firstRow="1" w:lastRow="1" w:firstColumn="1" w:lastColumn="1" w:noHBand="0" w:noVBand="0"/>
      </w:tblPr>
      <w:tblGrid>
        <w:gridCol w:w="4787"/>
        <w:gridCol w:w="4789"/>
      </w:tblGrid>
      <w:tr w:rsidR="008971D0" w:rsidTr="00B4093E">
        <w:tc>
          <w:tcPr>
            <w:tcW w:w="4817" w:type="dxa"/>
            <w:shd w:val="clear" w:color="auto" w:fill="auto"/>
          </w:tcPr>
          <w:p w:rsidR="008971D0" w:rsidRDefault="0037228D" w:rsidP="0037228D">
            <w:r>
              <w:t>Meagan Lang</w:t>
            </w:r>
          </w:p>
        </w:tc>
        <w:tc>
          <w:tcPr>
            <w:tcW w:w="4817" w:type="dxa"/>
            <w:shd w:val="clear" w:color="auto" w:fill="auto"/>
          </w:tcPr>
          <w:p w:rsidR="008971D0" w:rsidRDefault="008971D0" w:rsidP="0037228D">
            <w:pPr>
              <w:jc w:val="right"/>
            </w:pPr>
            <w:r>
              <w:t xml:space="preserve">Counsel for </w:t>
            </w:r>
            <w:r w:rsidR="0037228D">
              <w:t>the petitioner</w:t>
            </w:r>
            <w:r w:rsidR="00B8125F">
              <w:t xml:space="preserve"> </w:t>
            </w:r>
            <w:r w:rsidR="008A1A0F">
              <w:t xml:space="preserve"> </w:t>
            </w:r>
          </w:p>
        </w:tc>
      </w:tr>
      <w:tr w:rsidR="008971D0" w:rsidTr="00B4093E">
        <w:tc>
          <w:tcPr>
            <w:tcW w:w="4817" w:type="dxa"/>
            <w:shd w:val="clear" w:color="auto" w:fill="auto"/>
          </w:tcPr>
          <w:p w:rsidR="008971D0" w:rsidRPr="00B4093E" w:rsidRDefault="0037228D" w:rsidP="0037228D">
            <w:pPr>
              <w:rPr>
                <w:lang w:val="en-US"/>
              </w:rPr>
            </w:pPr>
            <w:r>
              <w:rPr>
                <w:lang w:val="en-US"/>
              </w:rPr>
              <w:t>Mark Radke</w:t>
            </w:r>
          </w:p>
        </w:tc>
        <w:tc>
          <w:tcPr>
            <w:tcW w:w="4817" w:type="dxa"/>
            <w:shd w:val="clear" w:color="auto" w:fill="auto"/>
          </w:tcPr>
          <w:p w:rsidR="008971D0" w:rsidRDefault="008971D0" w:rsidP="0037228D">
            <w:pPr>
              <w:jc w:val="right"/>
            </w:pPr>
            <w:r>
              <w:t xml:space="preserve">Counsel for </w:t>
            </w:r>
            <w:r w:rsidR="008A1A0F">
              <w:t>the</w:t>
            </w:r>
            <w:r w:rsidR="0037228D">
              <w:t xml:space="preserve"> respondent</w:t>
            </w:r>
            <w:r w:rsidR="009B0C0E">
              <w:t xml:space="preserve"> </w:t>
            </w:r>
            <w:r w:rsidR="00B8125F">
              <w:t xml:space="preserve"> </w:t>
            </w:r>
          </w:p>
        </w:tc>
      </w:tr>
    </w:tbl>
    <w:p w:rsidR="00EA246D" w:rsidRDefault="0069286F" w:rsidP="00947653">
      <w:pPr>
        <w:spacing w:before="360" w:line="480" w:lineRule="auto"/>
        <w:jc w:val="center"/>
        <w:rPr>
          <w:b/>
        </w:rPr>
      </w:pPr>
      <w:r>
        <w:rPr>
          <w:b/>
        </w:rPr>
        <w:t>REASONS FOR JUDGMENT</w:t>
      </w:r>
    </w:p>
    <w:p w:rsidR="00A305DA" w:rsidRDefault="00EA246D" w:rsidP="00A305DA">
      <w:pPr>
        <w:pStyle w:val="Heading1"/>
        <w:tabs>
          <w:tab w:val="clear" w:pos="9405"/>
        </w:tabs>
        <w:spacing w:line="480" w:lineRule="auto"/>
      </w:pPr>
      <w:r w:rsidRPr="00A9666F">
        <w:t>INTRODUCTION</w:t>
      </w:r>
    </w:p>
    <w:p w:rsidR="002914B5" w:rsidRDefault="0037228D" w:rsidP="003A3A0E">
      <w:pPr>
        <w:numPr>
          <w:ilvl w:val="0"/>
          <w:numId w:val="23"/>
        </w:numPr>
        <w:spacing w:line="480" w:lineRule="auto"/>
      </w:pPr>
      <w:r>
        <w:t xml:space="preserve">This is an application by Takhini Hotsprings Ltd. for a declaration that the exception and reservation of “the land forming the bed or shore of such waters” in Crown Grant 18693 are void. The </w:t>
      </w:r>
      <w:r w:rsidR="00F429AE">
        <w:t>G</w:t>
      </w:r>
      <w:r>
        <w:t xml:space="preserve">overnment of Yukon is the </w:t>
      </w:r>
      <w:r w:rsidR="003D0130">
        <w:t xml:space="preserve">respondent </w:t>
      </w:r>
      <w:r w:rsidR="00D127F0">
        <w:t>in this case,</w:t>
      </w:r>
      <w:r w:rsidR="00CC42C8">
        <w:t xml:space="preserve"> because </w:t>
      </w:r>
      <w:r w:rsidR="00E83D04">
        <w:t xml:space="preserve">it has </w:t>
      </w:r>
      <w:r w:rsidR="00B12339">
        <w:t xml:space="preserve">stepped into the shoes </w:t>
      </w:r>
      <w:r w:rsidR="00E83D04">
        <w:t>of the</w:t>
      </w:r>
      <w:r w:rsidR="00B12339">
        <w:t xml:space="preserve"> federal</w:t>
      </w:r>
      <w:r w:rsidR="00E83D04">
        <w:t xml:space="preserve"> Crown in this matter pursuant to</w:t>
      </w:r>
      <w:r w:rsidR="00CC42C8">
        <w:t xml:space="preserve"> the </w:t>
      </w:r>
      <w:r w:rsidR="00946CAF">
        <w:t>Devolution</w:t>
      </w:r>
      <w:r w:rsidR="00CC42C8">
        <w:t xml:space="preserve"> Transfer Agreement</w:t>
      </w:r>
      <w:r w:rsidR="00224558">
        <w:t xml:space="preserve"> dated October 29, 2001</w:t>
      </w:r>
      <w:r w:rsidR="00CC42C8">
        <w:t>.  The Government of Yukon</w:t>
      </w:r>
      <w:r>
        <w:t xml:space="preserve"> takes no position with respect to the declaration sought</w:t>
      </w:r>
      <w:r w:rsidR="00F429AE">
        <w:t>,</w:t>
      </w:r>
      <w:r>
        <w:t xml:space="preserve"> so long as it does n</w:t>
      </w:r>
      <w:r w:rsidR="0029452B">
        <w:t>ot prejudice the rights of the Commissioner</w:t>
      </w:r>
      <w:r>
        <w:t xml:space="preserve"> under the </w:t>
      </w:r>
      <w:r w:rsidRPr="00F429AE">
        <w:rPr>
          <w:i/>
        </w:rPr>
        <w:t>Territorial Lands</w:t>
      </w:r>
      <w:r w:rsidR="00F429AE">
        <w:rPr>
          <w:i/>
        </w:rPr>
        <w:t xml:space="preserve"> (Yukon) </w:t>
      </w:r>
      <w:r w:rsidRPr="00F429AE">
        <w:rPr>
          <w:i/>
        </w:rPr>
        <w:t>Act</w:t>
      </w:r>
      <w:r>
        <w:t xml:space="preserve">, S.Y. 2003, c. 17 and the </w:t>
      </w:r>
      <w:r w:rsidRPr="00F429AE">
        <w:rPr>
          <w:i/>
        </w:rPr>
        <w:t>Waters Act</w:t>
      </w:r>
      <w:r>
        <w:t xml:space="preserve">, S.Y. 2003, c. 19. </w:t>
      </w:r>
    </w:p>
    <w:p w:rsidR="00171BAC" w:rsidRDefault="00171BAC" w:rsidP="0037228D">
      <w:pPr>
        <w:spacing w:line="480" w:lineRule="auto"/>
        <w:rPr>
          <w:b/>
        </w:rPr>
      </w:pPr>
    </w:p>
    <w:p w:rsidR="0037228D" w:rsidRPr="0037228D" w:rsidRDefault="0037228D" w:rsidP="0037228D">
      <w:pPr>
        <w:spacing w:line="480" w:lineRule="auto"/>
        <w:rPr>
          <w:b/>
        </w:rPr>
      </w:pPr>
      <w:r>
        <w:rPr>
          <w:b/>
        </w:rPr>
        <w:lastRenderedPageBreak/>
        <w:t>BACKGROUND</w:t>
      </w:r>
    </w:p>
    <w:p w:rsidR="003A3A0E" w:rsidRDefault="0037228D" w:rsidP="003A3A0E">
      <w:pPr>
        <w:numPr>
          <w:ilvl w:val="0"/>
          <w:numId w:val="23"/>
        </w:numPr>
        <w:spacing w:line="480" w:lineRule="auto"/>
      </w:pPr>
      <w:r>
        <w:t>Takhini Hotsprings Ltd. is the registered owner of lands legally described as Lot 1094, Quad 105</w:t>
      </w:r>
      <w:r w:rsidR="00DF6DDF">
        <w:t xml:space="preserve"> </w:t>
      </w:r>
      <w:r>
        <w:t>D</w:t>
      </w:r>
      <w:r w:rsidR="00DF6DDF">
        <w:t>/</w:t>
      </w:r>
      <w:r>
        <w:t xml:space="preserve">14, Plan 65422, Yukon Territory (the </w:t>
      </w:r>
      <w:r w:rsidR="00031358">
        <w:t>“L</w:t>
      </w:r>
      <w:r>
        <w:t>and</w:t>
      </w:r>
      <w:r w:rsidR="00031358">
        <w:t>”</w:t>
      </w:r>
      <w:r>
        <w:t xml:space="preserve">). The </w:t>
      </w:r>
      <w:r w:rsidR="00031358">
        <w:t>L</w:t>
      </w:r>
      <w:r>
        <w:t xml:space="preserve">and was granted by the Crown on August 13, 1949 (the </w:t>
      </w:r>
      <w:r w:rsidR="00F02908">
        <w:t>“</w:t>
      </w:r>
      <w:r>
        <w:t>Crown Grant</w:t>
      </w:r>
      <w:r w:rsidR="00F02908">
        <w:t>”</w:t>
      </w:r>
      <w:r>
        <w:t>)</w:t>
      </w:r>
      <w:r w:rsidR="00031358">
        <w:t>,</w:t>
      </w:r>
      <w:r>
        <w:t xml:space="preserve"> </w:t>
      </w:r>
      <w:r w:rsidR="00DF6DDF">
        <w:t>in</w:t>
      </w:r>
      <w:r>
        <w:t xml:space="preserve"> fee simple subject to the following exception and reservation</w:t>
      </w:r>
      <w:r w:rsidR="00DF6DDF">
        <w:t xml:space="preserve"> as set out in the Crown Grant:</w:t>
      </w:r>
    </w:p>
    <w:p w:rsidR="00DF6DDF" w:rsidRDefault="00DF6DDF" w:rsidP="00DF6DDF">
      <w:pPr>
        <w:ind w:left="1440" w:right="1440"/>
      </w:pPr>
      <w:r w:rsidRPr="00F02908">
        <w:rPr>
          <w:u w:val="single"/>
        </w:rPr>
        <w:t>Saving, excepting and reserving</w:t>
      </w:r>
      <w:r>
        <w:t xml:space="preserve"> nevertheless unto Us, Our Successor and Assigns, </w:t>
      </w:r>
      <w:r w:rsidRPr="00F02908">
        <w:rPr>
          <w:u w:val="single"/>
        </w:rPr>
        <w:t>all navigable and other waters that now are or may be hereafter found</w:t>
      </w:r>
      <w:r>
        <w:t xml:space="preserve"> on, under or adjoin, or flowing through, upon or alongside of the said Parcel or Tract of Land or any part thereof, </w:t>
      </w:r>
      <w:r w:rsidRPr="00DF6DDF">
        <w:rPr>
          <w:u w:val="single"/>
        </w:rPr>
        <w:t>and the land forming the bed or shore of such waters</w:t>
      </w:r>
      <w:r>
        <w:t>, together with the free uses, passage and enjoyment of, in, over and upon such waters, including the right at Our and their pleasure to divert and use, and to grant to other the right to divert and use, the same for any purpose free from any claim of the grantee as riparian proprietor or otherwise however;  (emphasis added)</w:t>
      </w:r>
    </w:p>
    <w:p w:rsidR="00DF6DDF" w:rsidRDefault="00DF6DDF" w:rsidP="00DF6DDF">
      <w:pPr>
        <w:ind w:left="1440" w:right="1440"/>
      </w:pPr>
    </w:p>
    <w:p w:rsidR="003A3A0E" w:rsidRDefault="00DF6DDF" w:rsidP="003A3A0E">
      <w:pPr>
        <w:numPr>
          <w:ilvl w:val="0"/>
          <w:numId w:val="23"/>
        </w:numPr>
        <w:spacing w:line="480" w:lineRule="auto"/>
      </w:pPr>
      <w:r>
        <w:t>Plan 40380 CLSR, dated November 14, 1947, depicts a hotspring that was diverted by way of a pipe into a log swimming pool. A trickle of water also flowed from the hotspring, which was joined by the overflow from the pool before flowing out of the Land.</w:t>
      </w:r>
    </w:p>
    <w:p w:rsidR="00DF6DDF" w:rsidRDefault="00DF6DDF" w:rsidP="003A3A0E">
      <w:pPr>
        <w:numPr>
          <w:ilvl w:val="0"/>
          <w:numId w:val="23"/>
        </w:numPr>
        <w:spacing w:line="480" w:lineRule="auto"/>
      </w:pPr>
      <w:r>
        <w:t>Since the issuing of the Crown Grant, the trickle of water has dried up. The water from the spring continues to be diverted to a swimming pool, from which it flows into a pond created by a dyke in or about 1991 and then into a cree</w:t>
      </w:r>
      <w:r w:rsidR="00031358">
        <w:t>k</w:t>
      </w:r>
      <w:r>
        <w:t xml:space="preserve"> that flows out of the Land.</w:t>
      </w:r>
    </w:p>
    <w:p w:rsidR="00DF6DDF" w:rsidRDefault="00DF6DDF" w:rsidP="003A3A0E">
      <w:pPr>
        <w:numPr>
          <w:ilvl w:val="0"/>
          <w:numId w:val="23"/>
        </w:numPr>
        <w:spacing w:line="480" w:lineRule="auto"/>
      </w:pPr>
      <w:r>
        <w:t>Takhini Hotsprings Ltd. wishes to subdivide the Land and</w:t>
      </w:r>
      <w:r w:rsidR="00F02908">
        <w:t>,</w:t>
      </w:r>
      <w:r>
        <w:t xml:space="preserve"> as part of the process</w:t>
      </w:r>
      <w:r w:rsidR="00031358">
        <w:t>,</w:t>
      </w:r>
      <w:r>
        <w:t xml:space="preserve"> it must file a subdivision plan with the Land Titles Office. However, the Surveyor General Branch has advised that it cannot approve a plan because the Crown Grant is not clear as to whether the beds or shores underlying historical or existing bodies of water, or both, are to be excluded from the plan as being Crown lands.</w:t>
      </w:r>
    </w:p>
    <w:p w:rsidR="00DF6DDF" w:rsidRDefault="00DF6DDF" w:rsidP="00DF6DDF">
      <w:pPr>
        <w:spacing w:line="480" w:lineRule="auto"/>
      </w:pPr>
      <w:r>
        <w:rPr>
          <w:b/>
        </w:rPr>
        <w:t>DISPOSITION</w:t>
      </w:r>
      <w:r>
        <w:t xml:space="preserve"> </w:t>
      </w:r>
    </w:p>
    <w:p w:rsidR="00DF6DDF" w:rsidRDefault="00DF6DDF" w:rsidP="003A3A0E">
      <w:pPr>
        <w:numPr>
          <w:ilvl w:val="0"/>
          <w:numId w:val="23"/>
        </w:numPr>
        <w:spacing w:line="480" w:lineRule="auto"/>
      </w:pPr>
      <w:r>
        <w:t xml:space="preserve">The specific uncertainty arises because the Crown Grant purports to </w:t>
      </w:r>
      <w:r w:rsidR="00716A23">
        <w:t xml:space="preserve">reserve or </w:t>
      </w:r>
      <w:r>
        <w:t xml:space="preserve">except from its operation the beds or shores of waters </w:t>
      </w:r>
      <w:r w:rsidR="00031358">
        <w:t>on the Land at the time of the G</w:t>
      </w:r>
      <w:r>
        <w:t xml:space="preserve">rant, </w:t>
      </w:r>
      <w:r w:rsidR="00F02908">
        <w:t>“</w:t>
      </w:r>
      <w:r>
        <w:t>or</w:t>
      </w:r>
      <w:r w:rsidR="00F02908">
        <w:t>”</w:t>
      </w:r>
      <w:r>
        <w:t xml:space="preserve"> the beds or shores that may be found on the Land at a later date. </w:t>
      </w:r>
      <w:r w:rsidR="00F02908">
        <w:t xml:space="preserve">This </w:t>
      </w:r>
      <w:r>
        <w:t>could be interpreted as granting certain lands to Takhini Hotsprings Ltd. which could be removed from the Grant a</w:t>
      </w:r>
      <w:r w:rsidR="00224558">
        <w:t>t</w:t>
      </w:r>
      <w:r>
        <w:t xml:space="preserve"> a future date if the navigable or other wat</w:t>
      </w:r>
      <w:r w:rsidR="00F02908">
        <w:t xml:space="preserve">ers were to change course.  </w:t>
      </w:r>
      <w:r>
        <w:t>In my view, that interpretation cannot stand</w:t>
      </w:r>
      <w:r w:rsidR="00644CC7">
        <w:t>,</w:t>
      </w:r>
      <w:r>
        <w:t xml:space="preserve"> as it is not permissible to derogate from land contained in the original Crown Grant at a future date. Thus, the proper interpretation is that </w:t>
      </w:r>
      <w:r w:rsidR="0017653E">
        <w:t xml:space="preserve">the use of </w:t>
      </w:r>
      <w:r>
        <w:t>al</w:t>
      </w:r>
      <w:r w:rsidR="0017653E">
        <w:t>l navigable and other waters is</w:t>
      </w:r>
      <w:r>
        <w:t xml:space="preserve"> reserved to the Crown but that the Crown Grant must be interpreted in a manner that the words “and the land forming the bed or shore of such waters” is void.</w:t>
      </w:r>
    </w:p>
    <w:p w:rsidR="00664B1F" w:rsidRDefault="00031358" w:rsidP="00664B1F">
      <w:pPr>
        <w:numPr>
          <w:ilvl w:val="0"/>
          <w:numId w:val="23"/>
        </w:numPr>
        <w:spacing w:line="480" w:lineRule="auto"/>
      </w:pPr>
      <w:r>
        <w:t>The D</w:t>
      </w:r>
      <w:r w:rsidR="00DF6DDF">
        <w:t xml:space="preserve">evolution </w:t>
      </w:r>
      <w:r>
        <w:t>T</w:t>
      </w:r>
      <w:r w:rsidR="00DF6DDF">
        <w:t xml:space="preserve">ransfer </w:t>
      </w:r>
      <w:r>
        <w:t>A</w:t>
      </w:r>
      <w:r w:rsidR="00DF6DDF">
        <w:t>greement dated October 29, 2001, between the Government of Canada and the Government of Yukon agree</w:t>
      </w:r>
      <w:r w:rsidR="0017653E">
        <w:t>d</w:t>
      </w:r>
      <w:r w:rsidR="00DF6DDF">
        <w:t xml:space="preserve"> to repeal the </w:t>
      </w:r>
      <w:r w:rsidR="00DF6DDF" w:rsidRPr="00031358">
        <w:rPr>
          <w:i/>
        </w:rPr>
        <w:t>Yukon Act</w:t>
      </w:r>
      <w:r w:rsidR="00DF6DDF">
        <w:t xml:space="preserve"> and replace it with </w:t>
      </w:r>
      <w:r w:rsidR="00644CC7">
        <w:t>a statute</w:t>
      </w:r>
      <w:r w:rsidR="00DF6DDF">
        <w:t xml:space="preserve"> that gr</w:t>
      </w:r>
      <w:r w:rsidR="0056141A">
        <w:t>anted the Commissioner of Yukon</w:t>
      </w:r>
      <w:r w:rsidR="00DF6DDF">
        <w:t xml:space="preserve"> the administration and control of all Public Land and of all rights in respect of </w:t>
      </w:r>
      <w:r>
        <w:t>W</w:t>
      </w:r>
      <w:r w:rsidR="00DF6DDF">
        <w:t xml:space="preserve">aters. The </w:t>
      </w:r>
      <w:r w:rsidR="00DF6DDF" w:rsidRPr="00031358">
        <w:rPr>
          <w:i/>
        </w:rPr>
        <w:t>Yukon Act</w:t>
      </w:r>
      <w:r w:rsidR="00DF6DDF">
        <w:t xml:space="preserve">, S.C. 2002, c. 7, </w:t>
      </w:r>
      <w:r w:rsidR="00D127F0">
        <w:t>which came into force on April 1, 2003</w:t>
      </w:r>
      <w:r w:rsidR="00DF6DDF">
        <w:t xml:space="preserve">, granted the administration and control of all rights in respect of </w:t>
      </w:r>
      <w:r>
        <w:t>W</w:t>
      </w:r>
      <w:r w:rsidR="00DF6DDF">
        <w:t>aters in Yukon to the Commissioner of Yukon, while retaining the rights i</w:t>
      </w:r>
      <w:r w:rsidR="00612D8F">
        <w:t>n respect of all Waters to H</w:t>
      </w:r>
      <w:r w:rsidR="00DF6DDF">
        <w:t>er Majesty in Right of Canada.</w:t>
      </w:r>
      <w:r w:rsidR="00664B1F">
        <w:t xml:space="preserve"> (s. 48)</w:t>
      </w:r>
    </w:p>
    <w:p w:rsidR="00664B1F" w:rsidRDefault="00664B1F" w:rsidP="00664B1F">
      <w:pPr>
        <w:numPr>
          <w:ilvl w:val="0"/>
          <w:numId w:val="23"/>
        </w:numPr>
        <w:spacing w:line="480" w:lineRule="auto"/>
      </w:pPr>
      <w:r>
        <w:t xml:space="preserve">In s. 3 of the </w:t>
      </w:r>
      <w:r w:rsidRPr="00031358">
        <w:rPr>
          <w:i/>
        </w:rPr>
        <w:t>Waters Act</w:t>
      </w:r>
      <w:r>
        <w:t xml:space="preserve">, </w:t>
      </w:r>
      <w:r w:rsidR="00031358">
        <w:t>cited above</w:t>
      </w:r>
      <w:r>
        <w:t>, under the title “Water belongs to Government”, the following is stated:</w:t>
      </w:r>
    </w:p>
    <w:p w:rsidR="00031358" w:rsidRDefault="00031358" w:rsidP="00031358">
      <w:pPr>
        <w:pStyle w:val="loose"/>
        <w:spacing w:before="0"/>
        <w:ind w:left="1440" w:right="1440"/>
        <w:rPr>
          <w:rFonts w:ascii="Arial" w:hAnsi="Arial" w:cs="Arial"/>
          <w:color w:val="000000"/>
        </w:rPr>
      </w:pPr>
      <w:r w:rsidRPr="00031358">
        <w:rPr>
          <w:rFonts w:ascii="Arial" w:hAnsi="Arial" w:cs="Arial"/>
          <w:color w:val="000000"/>
        </w:rPr>
        <w:t>3(1) The Commissioner has the administration and control of all rights in respect of water in Yukon, other than waters in a federal conservation area as defined in the Yukon Act.</w:t>
      </w:r>
    </w:p>
    <w:p w:rsidR="00031358" w:rsidRPr="00031358" w:rsidRDefault="00031358" w:rsidP="00031358">
      <w:pPr>
        <w:pStyle w:val="loose"/>
        <w:spacing w:before="0"/>
        <w:ind w:left="1440" w:right="1440"/>
        <w:rPr>
          <w:rFonts w:ascii="Arial" w:hAnsi="Arial" w:cs="Arial"/>
          <w:color w:val="000000"/>
        </w:rPr>
      </w:pPr>
    </w:p>
    <w:p w:rsidR="00031358" w:rsidRDefault="00031358" w:rsidP="00031358">
      <w:pPr>
        <w:pStyle w:val="loose"/>
        <w:spacing w:before="0"/>
        <w:ind w:left="1620" w:right="1440"/>
        <w:rPr>
          <w:rFonts w:ascii="Arial" w:hAnsi="Arial" w:cs="Arial"/>
          <w:color w:val="000000"/>
        </w:rPr>
      </w:pPr>
      <w:r w:rsidRPr="00031358">
        <w:rPr>
          <w:rFonts w:ascii="Arial" w:hAnsi="Arial" w:cs="Arial"/>
          <w:color w:val="000000"/>
        </w:rPr>
        <w:t>(2) Subsection (1) is subject to any rights granted by or under an Act of Parliament in respect of waters.</w:t>
      </w:r>
    </w:p>
    <w:p w:rsidR="00031358" w:rsidRPr="00031358" w:rsidRDefault="00031358" w:rsidP="00031358">
      <w:pPr>
        <w:pStyle w:val="loose"/>
        <w:spacing w:before="0"/>
        <w:ind w:left="1620" w:right="1440"/>
        <w:rPr>
          <w:rFonts w:ascii="Arial" w:hAnsi="Arial" w:cs="Arial"/>
          <w:color w:val="000000"/>
        </w:rPr>
      </w:pPr>
    </w:p>
    <w:p w:rsidR="00031358" w:rsidRDefault="00031358" w:rsidP="00031358">
      <w:pPr>
        <w:pStyle w:val="loose"/>
        <w:spacing w:before="0"/>
        <w:ind w:left="1620" w:right="1440"/>
        <w:rPr>
          <w:rFonts w:ascii="Arial" w:hAnsi="Arial" w:cs="Arial"/>
          <w:color w:val="000000"/>
        </w:rPr>
      </w:pPr>
      <w:r w:rsidRPr="00031358">
        <w:rPr>
          <w:rFonts w:ascii="Arial" w:hAnsi="Arial" w:cs="Arial"/>
          <w:color w:val="000000"/>
        </w:rPr>
        <w:t>(3) Subsection (1) does not apply to the right to the use and flow of waters for the production or generation of waterpower to which the Dominion Water Power Act applies</w:t>
      </w:r>
    </w:p>
    <w:p w:rsidR="00031358" w:rsidRPr="00031358" w:rsidRDefault="00031358" w:rsidP="00031358">
      <w:pPr>
        <w:pStyle w:val="loose"/>
        <w:spacing w:before="0"/>
        <w:ind w:left="1620" w:right="1440"/>
        <w:rPr>
          <w:rFonts w:ascii="Arial" w:hAnsi="Arial" w:cs="Arial"/>
          <w:color w:val="000000"/>
        </w:rPr>
      </w:pPr>
    </w:p>
    <w:p w:rsidR="00543862" w:rsidRPr="00543862" w:rsidRDefault="00664B1F" w:rsidP="000F2D9E">
      <w:pPr>
        <w:numPr>
          <w:ilvl w:val="0"/>
          <w:numId w:val="23"/>
        </w:numPr>
        <w:spacing w:line="480" w:lineRule="auto"/>
      </w:pPr>
      <w:r>
        <w:t>In my view, it is trite law to say that the Crown cannot</w:t>
      </w:r>
      <w:r w:rsidR="00031358">
        <w:t xml:space="preserve"> grant land at the time of the G</w:t>
      </w:r>
      <w:r w:rsidR="00156286">
        <w:t xml:space="preserve">rant on terms that </w:t>
      </w:r>
      <w:r>
        <w:t xml:space="preserve">derogate that land from the Grant at a future date. </w:t>
      </w:r>
      <w:r w:rsidR="0084034E">
        <w:t xml:space="preserve"> As counsel for </w:t>
      </w:r>
      <w:proofErr w:type="spellStart"/>
      <w:r w:rsidR="0084034E">
        <w:t>Takhini</w:t>
      </w:r>
      <w:proofErr w:type="spellEnd"/>
      <w:r w:rsidR="0084034E">
        <w:t xml:space="preserve"> Hot Springs Ltd. points out, this would result in great uncertainty, as the land vesting in the grantee would be continually subject to change. </w:t>
      </w:r>
      <w:r w:rsidR="00263B36">
        <w:t xml:space="preserve"> </w:t>
      </w:r>
      <w:r w:rsidR="00156286">
        <w:t xml:space="preserve">To this end, I note the reasoning by Stark J. in </w:t>
      </w:r>
      <w:r w:rsidR="00156286" w:rsidRPr="00543862">
        <w:rPr>
          <w:i/>
        </w:rPr>
        <w:t>Walker et al. v. Ontario (Attorney General)</w:t>
      </w:r>
      <w:r w:rsidR="00156286">
        <w:t>, [1971] 1 O.R. 151 (H.C.J.)</w:t>
      </w:r>
      <w:r w:rsidR="000F2D9E">
        <w:t xml:space="preserve"> (</w:t>
      </w:r>
      <w:proofErr w:type="spellStart"/>
      <w:r w:rsidR="000F2D9E">
        <w:t>aff’d</w:t>
      </w:r>
      <w:proofErr w:type="spellEnd"/>
      <w:r w:rsidR="000F2D9E">
        <w:t xml:space="preserve"> [1972] 2 O.R. 558 (C.A.), [1975] 1 S.C.R 78</w:t>
      </w:r>
      <w:r w:rsidR="004F00DC">
        <w:t>)</w:t>
      </w:r>
      <w:r w:rsidR="00543862">
        <w:t xml:space="preserve">: </w:t>
      </w:r>
    </w:p>
    <w:p w:rsidR="00156286" w:rsidRDefault="00543862" w:rsidP="00543862">
      <w:pPr>
        <w:ind w:left="1440" w:right="1440"/>
        <w:rPr>
          <w:rStyle w:val="hit"/>
        </w:rPr>
      </w:pPr>
      <w:r>
        <w:rPr>
          <w:rStyle w:val="verdana"/>
        </w:rPr>
        <w:t>I do not, however, believe that</w:t>
      </w:r>
      <w:r w:rsidR="00224558">
        <w:rPr>
          <w:rStyle w:val="verdana"/>
        </w:rPr>
        <w:t xml:space="preserve"> this evidence [</w:t>
      </w:r>
      <w:r w:rsidR="000F2D9E">
        <w:rPr>
          <w:rStyle w:val="verdana"/>
        </w:rPr>
        <w:t>about the practice of establishing boundaries on neighbouring lots]</w:t>
      </w:r>
      <w:r>
        <w:rPr>
          <w:rStyle w:val="verdana"/>
        </w:rPr>
        <w:t xml:space="preserve"> assists us in the determination of the particular question at hand. The fact that almost 100 years later, a series of water lots based on a high water mark boundary are granted by the </w:t>
      </w:r>
      <w:bookmarkStart w:id="1" w:name="ORIGHIT_78"/>
      <w:bookmarkStart w:id="2" w:name="HIT_78"/>
      <w:bookmarkEnd w:id="1"/>
      <w:bookmarkEnd w:id="2"/>
      <w:r>
        <w:rPr>
          <w:rStyle w:val="hit"/>
        </w:rPr>
        <w:t>Crown,</w:t>
      </w:r>
      <w:r>
        <w:rPr>
          <w:rStyle w:val="verdana"/>
        </w:rPr>
        <w:t xml:space="preserve"> cannot in any manner adversely affect prior </w:t>
      </w:r>
      <w:bookmarkStart w:id="3" w:name="ORIGHIT_79"/>
      <w:bookmarkStart w:id="4" w:name="HIT_79"/>
      <w:bookmarkEnd w:id="3"/>
      <w:bookmarkEnd w:id="4"/>
      <w:r>
        <w:rPr>
          <w:rStyle w:val="hit"/>
        </w:rPr>
        <w:t>grants</w:t>
      </w:r>
      <w:r>
        <w:rPr>
          <w:rStyle w:val="verdana"/>
        </w:rPr>
        <w:t xml:space="preserve"> made since obviously the </w:t>
      </w:r>
      <w:bookmarkStart w:id="5" w:name="ORIGHIT_80"/>
      <w:bookmarkStart w:id="6" w:name="HIT_80"/>
      <w:bookmarkEnd w:id="5"/>
      <w:bookmarkEnd w:id="6"/>
      <w:r>
        <w:rPr>
          <w:rStyle w:val="hit"/>
        </w:rPr>
        <w:t>Crown</w:t>
      </w:r>
      <w:r>
        <w:rPr>
          <w:rStyle w:val="verdana"/>
        </w:rPr>
        <w:t xml:space="preserve"> could not </w:t>
      </w:r>
      <w:bookmarkStart w:id="7" w:name="ORIGHIT_81"/>
      <w:bookmarkStart w:id="8" w:name="HIT_81"/>
      <w:bookmarkEnd w:id="7"/>
      <w:bookmarkEnd w:id="8"/>
      <w:r>
        <w:rPr>
          <w:rStyle w:val="hit"/>
        </w:rPr>
        <w:t>derogate</w:t>
      </w:r>
      <w:r>
        <w:rPr>
          <w:rStyle w:val="verdana"/>
        </w:rPr>
        <w:t xml:space="preserve"> from its own </w:t>
      </w:r>
      <w:bookmarkStart w:id="9" w:name="ORIGHIT_82"/>
      <w:bookmarkStart w:id="10" w:name="HIT_82"/>
      <w:bookmarkEnd w:id="9"/>
      <w:bookmarkEnd w:id="10"/>
      <w:r>
        <w:rPr>
          <w:rStyle w:val="hit"/>
        </w:rPr>
        <w:t>grant.</w:t>
      </w:r>
    </w:p>
    <w:p w:rsidR="00543862" w:rsidRDefault="00543862" w:rsidP="00543862"/>
    <w:p w:rsidR="003D0130" w:rsidRDefault="0056141A" w:rsidP="003A3A0E">
      <w:pPr>
        <w:numPr>
          <w:ilvl w:val="0"/>
          <w:numId w:val="23"/>
        </w:numPr>
        <w:spacing w:line="480" w:lineRule="auto"/>
      </w:pPr>
      <w:r>
        <w:t>The</w:t>
      </w:r>
      <w:r w:rsidR="00664B1F">
        <w:t xml:space="preserve"> Crown is entitled to reserve </w:t>
      </w:r>
      <w:r w:rsidR="003D0130">
        <w:t xml:space="preserve">its use of </w:t>
      </w:r>
      <w:r w:rsidR="00664B1F">
        <w:t xml:space="preserve">all navigable and other waters that are found on the land, but it cannot grant and </w:t>
      </w:r>
      <w:r w:rsidR="003D0130">
        <w:t xml:space="preserve">then </w:t>
      </w:r>
      <w:r w:rsidR="00664B1F">
        <w:t xml:space="preserve">take away land forming the bed or shores of such waters. </w:t>
      </w:r>
    </w:p>
    <w:p w:rsidR="00204E99" w:rsidRDefault="00664B1F" w:rsidP="00204E99">
      <w:pPr>
        <w:numPr>
          <w:ilvl w:val="0"/>
          <w:numId w:val="23"/>
        </w:numPr>
        <w:spacing w:line="480" w:lineRule="auto"/>
      </w:pPr>
      <w:r>
        <w:t>I therefore declare that Crown Grant 18693 shall be read as not including the</w:t>
      </w:r>
    </w:p>
    <w:p w:rsidR="00DF6DDF" w:rsidRDefault="00664B1F" w:rsidP="00204E99">
      <w:pPr>
        <w:spacing w:line="480" w:lineRule="auto"/>
      </w:pPr>
      <w:proofErr w:type="gramStart"/>
      <w:r>
        <w:t>phrase</w:t>
      </w:r>
      <w:proofErr w:type="gramEnd"/>
      <w:r>
        <w:t xml:space="preserve"> “and the land forming the bed or shore of such waters”.</w:t>
      </w:r>
    </w:p>
    <w:p w:rsidR="00776620" w:rsidRDefault="00776620" w:rsidP="00204E99">
      <w:pPr>
        <w:spacing w:line="480" w:lineRule="auto"/>
      </w:pPr>
    </w:p>
    <w:p w:rsidR="00EA246D" w:rsidRPr="008971D0" w:rsidRDefault="008971D0" w:rsidP="0008371B">
      <w:pPr>
        <w:pStyle w:val="Header"/>
        <w:tabs>
          <w:tab w:val="clear" w:pos="4320"/>
          <w:tab w:val="clear" w:pos="8640"/>
          <w:tab w:val="left" w:pos="5016"/>
          <w:tab w:val="left" w:pos="9291"/>
        </w:tabs>
        <w:spacing w:before="800"/>
        <w:rPr>
          <w:bCs/>
        </w:rPr>
      </w:pPr>
      <w:r>
        <w:rPr>
          <w:b/>
          <w:bCs/>
        </w:rPr>
        <w:tab/>
      </w:r>
      <w:r w:rsidRPr="008971D0">
        <w:rPr>
          <w:bCs/>
          <w:u w:val="single"/>
        </w:rPr>
        <w:tab/>
      </w:r>
      <w:r w:rsidRPr="008971D0">
        <w:rPr>
          <w:bCs/>
          <w:u w:val="single"/>
        </w:rPr>
        <w:br/>
      </w:r>
      <w:r w:rsidRPr="008971D0">
        <w:rPr>
          <w:b/>
          <w:bCs/>
        </w:rPr>
        <w:tab/>
      </w:r>
      <w:r w:rsidR="00664B1F">
        <w:rPr>
          <w:bCs/>
        </w:rPr>
        <w:t>VEALE</w:t>
      </w:r>
      <w:r w:rsidR="005048E5">
        <w:rPr>
          <w:bCs/>
        </w:rPr>
        <w:t xml:space="preserve"> J.</w:t>
      </w:r>
    </w:p>
    <w:sectPr w:rsidR="00EA246D" w:rsidRPr="008971D0" w:rsidSect="00776620">
      <w:headerReference w:type="default" r:id="rId8"/>
      <w:pgSz w:w="12240" w:h="15840"/>
      <w:pgMar w:top="1440"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20" w:rsidRDefault="00776620">
      <w:r>
        <w:separator/>
      </w:r>
    </w:p>
  </w:endnote>
  <w:endnote w:type="continuationSeparator" w:id="0">
    <w:p w:rsidR="00776620" w:rsidRDefault="007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20" w:rsidRDefault="00776620">
      <w:r>
        <w:separator/>
      </w:r>
    </w:p>
  </w:footnote>
  <w:footnote w:type="continuationSeparator" w:id="0">
    <w:p w:rsidR="00776620" w:rsidRDefault="0077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20" w:rsidRDefault="00776620">
    <w:pPr>
      <w:pStyle w:val="Header"/>
      <w:jc w:val="cent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55001">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1746"/>
    <w:lvl w:ilvl="0">
      <w:start w:val="1"/>
      <w:numFmt w:val="decimal"/>
      <w:lvlText w:val="%1."/>
      <w:lvlJc w:val="left"/>
      <w:pPr>
        <w:tabs>
          <w:tab w:val="num" w:pos="1800"/>
        </w:tabs>
        <w:ind w:left="1800" w:hanging="360"/>
      </w:pPr>
    </w:lvl>
  </w:abstractNum>
  <w:abstractNum w:abstractNumId="1">
    <w:nsid w:val="FFFFFF7D"/>
    <w:multiLevelType w:val="singleLevel"/>
    <w:tmpl w:val="67C69320"/>
    <w:lvl w:ilvl="0">
      <w:start w:val="1"/>
      <w:numFmt w:val="decimal"/>
      <w:lvlText w:val="%1."/>
      <w:lvlJc w:val="left"/>
      <w:pPr>
        <w:tabs>
          <w:tab w:val="num" w:pos="1440"/>
        </w:tabs>
        <w:ind w:left="1440" w:hanging="360"/>
      </w:pPr>
    </w:lvl>
  </w:abstractNum>
  <w:abstractNum w:abstractNumId="2">
    <w:nsid w:val="FFFFFF7E"/>
    <w:multiLevelType w:val="singleLevel"/>
    <w:tmpl w:val="7ECE3DCA"/>
    <w:lvl w:ilvl="0">
      <w:start w:val="1"/>
      <w:numFmt w:val="decimal"/>
      <w:lvlText w:val="%1."/>
      <w:lvlJc w:val="left"/>
      <w:pPr>
        <w:tabs>
          <w:tab w:val="num" w:pos="1080"/>
        </w:tabs>
        <w:ind w:left="1080" w:hanging="360"/>
      </w:pPr>
    </w:lvl>
  </w:abstractNum>
  <w:abstractNum w:abstractNumId="3">
    <w:nsid w:val="FFFFFF7F"/>
    <w:multiLevelType w:val="singleLevel"/>
    <w:tmpl w:val="6C0A2FD0"/>
    <w:lvl w:ilvl="0">
      <w:start w:val="1"/>
      <w:numFmt w:val="decimal"/>
      <w:lvlText w:val="%1."/>
      <w:lvlJc w:val="left"/>
      <w:pPr>
        <w:tabs>
          <w:tab w:val="num" w:pos="720"/>
        </w:tabs>
        <w:ind w:left="720" w:hanging="360"/>
      </w:pPr>
    </w:lvl>
  </w:abstractNum>
  <w:abstractNum w:abstractNumId="4">
    <w:nsid w:val="FFFFFF80"/>
    <w:multiLevelType w:val="singleLevel"/>
    <w:tmpl w:val="889092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E2EE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FCD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A062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E01DA"/>
    <w:lvl w:ilvl="0">
      <w:start w:val="1"/>
      <w:numFmt w:val="decimal"/>
      <w:lvlText w:val="%1."/>
      <w:lvlJc w:val="left"/>
      <w:pPr>
        <w:tabs>
          <w:tab w:val="num" w:pos="360"/>
        </w:tabs>
        <w:ind w:left="360" w:hanging="360"/>
      </w:pPr>
    </w:lvl>
  </w:abstractNum>
  <w:abstractNum w:abstractNumId="9">
    <w:nsid w:val="FFFFFF89"/>
    <w:multiLevelType w:val="singleLevel"/>
    <w:tmpl w:val="12468474"/>
    <w:lvl w:ilvl="0">
      <w:start w:val="1"/>
      <w:numFmt w:val="bullet"/>
      <w:lvlText w:val=""/>
      <w:lvlJc w:val="left"/>
      <w:pPr>
        <w:tabs>
          <w:tab w:val="num" w:pos="360"/>
        </w:tabs>
        <w:ind w:left="360" w:hanging="360"/>
      </w:pPr>
      <w:rPr>
        <w:rFonts w:ascii="Symbol" w:hAnsi="Symbol" w:hint="default"/>
      </w:rPr>
    </w:lvl>
  </w:abstractNum>
  <w:abstractNum w:abstractNumId="1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nsid w:val="0BCF2B81"/>
    <w:multiLevelType w:val="multilevel"/>
    <w:tmpl w:val="78ACE39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5A0BFE"/>
    <w:multiLevelType w:val="hybridMultilevel"/>
    <w:tmpl w:val="9B8CB10E"/>
    <w:lvl w:ilvl="0" w:tplc="A8BA5BD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631A3D"/>
    <w:multiLevelType w:val="hybridMultilevel"/>
    <w:tmpl w:val="EBCC76E4"/>
    <w:lvl w:ilvl="0" w:tplc="047A286A">
      <w:start w:val="1"/>
      <w:numFmt w:val="decimal"/>
      <w:lvlText w:val="[%1]"/>
      <w:lvlJc w:val="left"/>
      <w:pPr>
        <w:tabs>
          <w:tab w:val="num" w:pos="720"/>
        </w:tabs>
        <w:ind w:left="0" w:firstLine="0"/>
      </w:pPr>
      <w:rPr>
        <w:rFonts w:hint="default"/>
      </w:rPr>
    </w:lvl>
    <w:lvl w:ilvl="1" w:tplc="9D9857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72BE6"/>
    <w:multiLevelType w:val="hybridMultilevel"/>
    <w:tmpl w:val="0A085452"/>
    <w:lvl w:ilvl="0" w:tplc="31C49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CB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AF51E3"/>
    <w:multiLevelType w:val="hybridMultilevel"/>
    <w:tmpl w:val="80363ADA"/>
    <w:lvl w:ilvl="0" w:tplc="707A879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C1EEE"/>
    <w:multiLevelType w:val="multilevel"/>
    <w:tmpl w:val="E91674E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5473D9"/>
    <w:multiLevelType w:val="hybridMultilevel"/>
    <w:tmpl w:val="4926CC1A"/>
    <w:lvl w:ilvl="0" w:tplc="A8BA5BD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BC3371"/>
    <w:multiLevelType w:val="hybridMultilevel"/>
    <w:tmpl w:val="3DC4EA30"/>
    <w:lvl w:ilvl="0" w:tplc="047A286A">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DF7DFB"/>
    <w:multiLevelType w:val="hybridMultilevel"/>
    <w:tmpl w:val="C2F263E4"/>
    <w:lvl w:ilvl="0" w:tplc="047A286A">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5511B4"/>
    <w:multiLevelType w:val="hybridMultilevel"/>
    <w:tmpl w:val="A85A25F2"/>
    <w:lvl w:ilvl="0" w:tplc="047A286A">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E398F"/>
    <w:multiLevelType w:val="hybridMultilevel"/>
    <w:tmpl w:val="87DCACC2"/>
    <w:lvl w:ilvl="0" w:tplc="047A286A">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4"/>
  </w:num>
  <w:num w:numId="16">
    <w:abstractNumId w:val="17"/>
  </w:num>
  <w:num w:numId="17">
    <w:abstractNumId w:val="11"/>
  </w:num>
  <w:num w:numId="18">
    <w:abstractNumId w:val="20"/>
  </w:num>
  <w:num w:numId="19">
    <w:abstractNumId w:val="10"/>
  </w:num>
  <w:num w:numId="20">
    <w:abstractNumId w:val="13"/>
  </w:num>
  <w:num w:numId="21">
    <w:abstractNumId w:val="2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7E"/>
    <w:rsid w:val="00001C7E"/>
    <w:rsid w:val="00012D9E"/>
    <w:rsid w:val="00025BF8"/>
    <w:rsid w:val="00031358"/>
    <w:rsid w:val="000448C8"/>
    <w:rsid w:val="00055001"/>
    <w:rsid w:val="0008371B"/>
    <w:rsid w:val="00091C1E"/>
    <w:rsid w:val="000E6DB0"/>
    <w:rsid w:val="000F2D9E"/>
    <w:rsid w:val="001215FF"/>
    <w:rsid w:val="0015597B"/>
    <w:rsid w:val="00156286"/>
    <w:rsid w:val="00171BAC"/>
    <w:rsid w:val="0017653E"/>
    <w:rsid w:val="001C5EDD"/>
    <w:rsid w:val="001D7BBA"/>
    <w:rsid w:val="001E4342"/>
    <w:rsid w:val="0020210E"/>
    <w:rsid w:val="00204E99"/>
    <w:rsid w:val="00224558"/>
    <w:rsid w:val="00236178"/>
    <w:rsid w:val="00263B36"/>
    <w:rsid w:val="002914B5"/>
    <w:rsid w:val="0029452B"/>
    <w:rsid w:val="002D6E16"/>
    <w:rsid w:val="00324020"/>
    <w:rsid w:val="00326F3F"/>
    <w:rsid w:val="0037228D"/>
    <w:rsid w:val="003A04F9"/>
    <w:rsid w:val="003A3A0E"/>
    <w:rsid w:val="003D0130"/>
    <w:rsid w:val="003D1F88"/>
    <w:rsid w:val="003F1752"/>
    <w:rsid w:val="00431F87"/>
    <w:rsid w:val="00456248"/>
    <w:rsid w:val="00464655"/>
    <w:rsid w:val="004779ED"/>
    <w:rsid w:val="004F00DC"/>
    <w:rsid w:val="004F7720"/>
    <w:rsid w:val="005048E5"/>
    <w:rsid w:val="005057C2"/>
    <w:rsid w:val="00512C93"/>
    <w:rsid w:val="00527DA6"/>
    <w:rsid w:val="00543862"/>
    <w:rsid w:val="0056141A"/>
    <w:rsid w:val="00566955"/>
    <w:rsid w:val="005D3FAC"/>
    <w:rsid w:val="005D74F9"/>
    <w:rsid w:val="00612D8F"/>
    <w:rsid w:val="006157F4"/>
    <w:rsid w:val="00644CC7"/>
    <w:rsid w:val="00653D27"/>
    <w:rsid w:val="00664B1F"/>
    <w:rsid w:val="00667167"/>
    <w:rsid w:val="0069286F"/>
    <w:rsid w:val="006B0DF9"/>
    <w:rsid w:val="006C65F0"/>
    <w:rsid w:val="00713171"/>
    <w:rsid w:val="00716367"/>
    <w:rsid w:val="00716A23"/>
    <w:rsid w:val="00727F6D"/>
    <w:rsid w:val="007428E9"/>
    <w:rsid w:val="007603C1"/>
    <w:rsid w:val="00776620"/>
    <w:rsid w:val="0079282C"/>
    <w:rsid w:val="007B2153"/>
    <w:rsid w:val="007B3EA0"/>
    <w:rsid w:val="00823B78"/>
    <w:rsid w:val="0084034E"/>
    <w:rsid w:val="00843697"/>
    <w:rsid w:val="0084644D"/>
    <w:rsid w:val="00895EAA"/>
    <w:rsid w:val="008971D0"/>
    <w:rsid w:val="008A1A0F"/>
    <w:rsid w:val="009050AB"/>
    <w:rsid w:val="00946CAF"/>
    <w:rsid w:val="00947653"/>
    <w:rsid w:val="009559B7"/>
    <w:rsid w:val="00973815"/>
    <w:rsid w:val="00994396"/>
    <w:rsid w:val="009A343F"/>
    <w:rsid w:val="009B0C0E"/>
    <w:rsid w:val="009F737E"/>
    <w:rsid w:val="009F777D"/>
    <w:rsid w:val="00A00B12"/>
    <w:rsid w:val="00A305DA"/>
    <w:rsid w:val="00A4005C"/>
    <w:rsid w:val="00A61336"/>
    <w:rsid w:val="00A80EA7"/>
    <w:rsid w:val="00A9666F"/>
    <w:rsid w:val="00AB7C56"/>
    <w:rsid w:val="00B12339"/>
    <w:rsid w:val="00B4093E"/>
    <w:rsid w:val="00B8125F"/>
    <w:rsid w:val="00BF02AA"/>
    <w:rsid w:val="00C079BD"/>
    <w:rsid w:val="00C2180C"/>
    <w:rsid w:val="00C57781"/>
    <w:rsid w:val="00C75B6B"/>
    <w:rsid w:val="00C8279F"/>
    <w:rsid w:val="00C955B0"/>
    <w:rsid w:val="00CA12E1"/>
    <w:rsid w:val="00CC42C8"/>
    <w:rsid w:val="00CE462F"/>
    <w:rsid w:val="00CF3888"/>
    <w:rsid w:val="00CF5650"/>
    <w:rsid w:val="00D04DF1"/>
    <w:rsid w:val="00D127F0"/>
    <w:rsid w:val="00D47731"/>
    <w:rsid w:val="00DA217B"/>
    <w:rsid w:val="00DB706E"/>
    <w:rsid w:val="00DF6DDF"/>
    <w:rsid w:val="00E04536"/>
    <w:rsid w:val="00E83D04"/>
    <w:rsid w:val="00E90C80"/>
    <w:rsid w:val="00EA246D"/>
    <w:rsid w:val="00EC5A44"/>
    <w:rsid w:val="00EF0CEC"/>
    <w:rsid w:val="00EF69EB"/>
    <w:rsid w:val="00F02908"/>
    <w:rsid w:val="00F33116"/>
    <w:rsid w:val="00F406E7"/>
    <w:rsid w:val="00F429AE"/>
    <w:rsid w:val="00F81C65"/>
    <w:rsid w:val="00FB022F"/>
    <w:rsid w:val="00FC7090"/>
    <w:rsid w:val="00FD68F9"/>
    <w:rsid w:val="00FF1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right" w:pos="9405"/>
      </w:tabs>
      <w:outlineLvl w:val="0"/>
    </w:pPr>
    <w:rPr>
      <w:b/>
      <w:bCs/>
    </w:rPr>
  </w:style>
  <w:style w:type="paragraph" w:styleId="Heading2">
    <w:name w:val="heading 2"/>
    <w:basedOn w:val="Normal"/>
    <w:next w:val="Normal"/>
    <w:qFormat/>
    <w:pPr>
      <w:keepNext/>
      <w:tabs>
        <w:tab w:val="right" w:pos="9405"/>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pPr>
      <w:widowControl w:val="0"/>
      <w:tabs>
        <w:tab w:val="left" w:pos="660"/>
      </w:tabs>
      <w:spacing w:line="240" w:lineRule="atLeast"/>
      <w:ind w:left="80" w:hanging="720"/>
    </w:pPr>
    <w:rPr>
      <w:rFonts w:ascii="Times New Roman" w:hAnsi="Times New Roman"/>
      <w:szCs w:val="20"/>
      <w:lang w:val="en-US"/>
    </w:rPr>
  </w:style>
  <w:style w:type="paragraph" w:styleId="BodyTextIndent">
    <w:name w:val="Body Text Indent"/>
    <w:basedOn w:val="Normal"/>
    <w:pPr>
      <w:tabs>
        <w:tab w:val="right" w:pos="9348"/>
      </w:tabs>
      <w:ind w:left="-72"/>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9405"/>
      </w:tabs>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lockText">
    <w:name w:val="Block Text"/>
    <w:basedOn w:val="Normal"/>
    <w:pPr>
      <w:spacing w:before="240"/>
      <w:ind w:left="1440" w:right="1440"/>
    </w:pPr>
  </w:style>
  <w:style w:type="table" w:styleId="TableGrid">
    <w:name w:val="Table Grid"/>
    <w:basedOn w:val="TableNormal"/>
    <w:rsid w:val="00236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body">
    <w:name w:val="inst-body"/>
    <w:basedOn w:val="Normal"/>
    <w:rsid w:val="00A00B12"/>
    <w:pPr>
      <w:widowControl w:val="0"/>
      <w:tabs>
        <w:tab w:val="left" w:pos="720"/>
      </w:tabs>
      <w:autoSpaceDE w:val="0"/>
      <w:autoSpaceDN w:val="0"/>
      <w:adjustRightInd w:val="0"/>
      <w:spacing w:after="240" w:line="300" w:lineRule="atLeast"/>
    </w:pPr>
    <w:rPr>
      <w:rFonts w:ascii="Times New Roman" w:hAnsi="Times New Roman"/>
      <w:lang w:val="en-GB"/>
    </w:rPr>
  </w:style>
  <w:style w:type="paragraph" w:customStyle="1" w:styleId="head-c">
    <w:name w:val="head-c"/>
    <w:basedOn w:val="Normal"/>
    <w:rsid w:val="00A00B12"/>
    <w:pPr>
      <w:widowControl w:val="0"/>
      <w:shd w:val="clear" w:color="FFFFFF" w:fill="FFFFFF"/>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s>
      <w:autoSpaceDE w:val="0"/>
      <w:autoSpaceDN w:val="0"/>
      <w:adjustRightInd w:val="0"/>
      <w:outlineLvl w:val="1"/>
    </w:pPr>
    <w:rPr>
      <w:b/>
      <w:bCs/>
      <w:lang w:val="en-US"/>
    </w:rPr>
  </w:style>
  <w:style w:type="paragraph" w:customStyle="1" w:styleId="head-ctext">
    <w:name w:val="head-c text"/>
    <w:basedOn w:val="Normal"/>
    <w:rsid w:val="00A00B12"/>
    <w:pPr>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s>
      <w:autoSpaceDE w:val="0"/>
      <w:autoSpaceDN w:val="0"/>
      <w:adjustRightInd w:val="0"/>
      <w:spacing w:after="240" w:line="320" w:lineRule="exact"/>
      <w:jc w:val="center"/>
      <w:outlineLvl w:val="3"/>
    </w:pPr>
    <w:rPr>
      <w:rFonts w:ascii="Times New Roman" w:hAnsi="Times New Roman"/>
      <w:lang w:val="en-GB"/>
    </w:rPr>
  </w:style>
  <w:style w:type="paragraph" w:styleId="BodyText3">
    <w:name w:val="Body Text 3"/>
    <w:basedOn w:val="Normal"/>
    <w:rsid w:val="00A00B12"/>
    <w:pPr>
      <w:widowControl w:val="0"/>
      <w:autoSpaceDE w:val="0"/>
      <w:autoSpaceDN w:val="0"/>
      <w:adjustRightInd w:val="0"/>
      <w:spacing w:after="240" w:line="320" w:lineRule="exact"/>
    </w:pPr>
    <w:rPr>
      <w:rFonts w:ascii="Times New Roman" w:hAnsi="Times New Roman"/>
      <w:sz w:val="20"/>
      <w:szCs w:val="20"/>
      <w:lang w:val="en-US"/>
    </w:rPr>
  </w:style>
  <w:style w:type="paragraph" w:customStyle="1" w:styleId="hangingbody">
    <w:name w:val="hanging body"/>
    <w:basedOn w:val="inst-body"/>
    <w:rsid w:val="00A00B12"/>
    <w:pPr>
      <w:ind w:left="720" w:hanging="720"/>
    </w:pPr>
  </w:style>
  <w:style w:type="paragraph" w:customStyle="1" w:styleId="1para">
    <w:name w:val="[1] para"/>
    <w:basedOn w:val="Normal"/>
    <w:autoRedefine/>
    <w:rsid w:val="00A00B12"/>
    <w:pPr>
      <w:tabs>
        <w:tab w:val="num" w:pos="360"/>
        <w:tab w:val="left" w:pos="1440"/>
      </w:tabs>
    </w:pPr>
    <w:rPr>
      <w:rFonts w:cs="Arial"/>
      <w:szCs w:val="20"/>
      <w:lang w:val="en-US"/>
    </w:rPr>
  </w:style>
  <w:style w:type="paragraph" w:styleId="Subtitle">
    <w:name w:val="Subtitle"/>
    <w:basedOn w:val="Normal"/>
    <w:qFormat/>
    <w:rsid w:val="00A00B12"/>
    <w:pPr>
      <w:jc w:val="right"/>
    </w:pPr>
    <w:rPr>
      <w:rFonts w:ascii="Times New Roman" w:hAnsi="Times New Roman"/>
      <w:b/>
      <w:caps/>
      <w:sz w:val="28"/>
      <w:szCs w:val="20"/>
      <w:lang w:val="en-US"/>
    </w:rPr>
  </w:style>
  <w:style w:type="paragraph" w:styleId="BalloonText">
    <w:name w:val="Balloon Text"/>
    <w:basedOn w:val="Normal"/>
    <w:semiHidden/>
    <w:rsid w:val="00A305DA"/>
    <w:rPr>
      <w:rFonts w:ascii="Tahoma" w:hAnsi="Tahoma" w:cs="Tahoma"/>
      <w:sz w:val="16"/>
      <w:szCs w:val="16"/>
    </w:rPr>
  </w:style>
  <w:style w:type="paragraph" w:customStyle="1" w:styleId="loose">
    <w:name w:val="loose"/>
    <w:basedOn w:val="Normal"/>
    <w:rsid w:val="00031358"/>
    <w:pPr>
      <w:spacing w:before="210"/>
    </w:pPr>
    <w:rPr>
      <w:rFonts w:ascii="Times New Roman" w:hAnsi="Times New Roman"/>
      <w:lang w:eastAsia="en-CA"/>
    </w:rPr>
  </w:style>
  <w:style w:type="character" w:customStyle="1" w:styleId="verdana">
    <w:name w:val="verdana"/>
    <w:basedOn w:val="DefaultParagraphFont"/>
    <w:rsid w:val="00156286"/>
  </w:style>
  <w:style w:type="character" w:customStyle="1" w:styleId="hit">
    <w:name w:val="hit"/>
    <w:basedOn w:val="DefaultParagraphFont"/>
    <w:rsid w:val="00156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right" w:pos="9405"/>
      </w:tabs>
      <w:outlineLvl w:val="0"/>
    </w:pPr>
    <w:rPr>
      <w:b/>
      <w:bCs/>
    </w:rPr>
  </w:style>
  <w:style w:type="paragraph" w:styleId="Heading2">
    <w:name w:val="heading 2"/>
    <w:basedOn w:val="Normal"/>
    <w:next w:val="Normal"/>
    <w:qFormat/>
    <w:pPr>
      <w:keepNext/>
      <w:tabs>
        <w:tab w:val="right" w:pos="9405"/>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pPr>
      <w:widowControl w:val="0"/>
      <w:tabs>
        <w:tab w:val="left" w:pos="660"/>
      </w:tabs>
      <w:spacing w:line="240" w:lineRule="atLeast"/>
      <w:ind w:left="80" w:hanging="720"/>
    </w:pPr>
    <w:rPr>
      <w:rFonts w:ascii="Times New Roman" w:hAnsi="Times New Roman"/>
      <w:szCs w:val="20"/>
      <w:lang w:val="en-US"/>
    </w:rPr>
  </w:style>
  <w:style w:type="paragraph" w:styleId="BodyTextIndent">
    <w:name w:val="Body Text Indent"/>
    <w:basedOn w:val="Normal"/>
    <w:pPr>
      <w:tabs>
        <w:tab w:val="right" w:pos="9348"/>
      </w:tabs>
      <w:ind w:left="-72"/>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right" w:pos="9405"/>
      </w:tabs>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lockText">
    <w:name w:val="Block Text"/>
    <w:basedOn w:val="Normal"/>
    <w:pPr>
      <w:spacing w:before="240"/>
      <w:ind w:left="1440" w:right="1440"/>
    </w:pPr>
  </w:style>
  <w:style w:type="table" w:styleId="TableGrid">
    <w:name w:val="Table Grid"/>
    <w:basedOn w:val="TableNormal"/>
    <w:rsid w:val="00236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body">
    <w:name w:val="inst-body"/>
    <w:basedOn w:val="Normal"/>
    <w:rsid w:val="00A00B12"/>
    <w:pPr>
      <w:widowControl w:val="0"/>
      <w:tabs>
        <w:tab w:val="left" w:pos="720"/>
      </w:tabs>
      <w:autoSpaceDE w:val="0"/>
      <w:autoSpaceDN w:val="0"/>
      <w:adjustRightInd w:val="0"/>
      <w:spacing w:after="240" w:line="300" w:lineRule="atLeast"/>
    </w:pPr>
    <w:rPr>
      <w:rFonts w:ascii="Times New Roman" w:hAnsi="Times New Roman"/>
      <w:lang w:val="en-GB"/>
    </w:rPr>
  </w:style>
  <w:style w:type="paragraph" w:customStyle="1" w:styleId="head-c">
    <w:name w:val="head-c"/>
    <w:basedOn w:val="Normal"/>
    <w:rsid w:val="00A00B12"/>
    <w:pPr>
      <w:widowControl w:val="0"/>
      <w:shd w:val="clear" w:color="FFFFFF" w:fill="FFFFFF"/>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s>
      <w:autoSpaceDE w:val="0"/>
      <w:autoSpaceDN w:val="0"/>
      <w:adjustRightInd w:val="0"/>
      <w:outlineLvl w:val="1"/>
    </w:pPr>
    <w:rPr>
      <w:b/>
      <w:bCs/>
      <w:lang w:val="en-US"/>
    </w:rPr>
  </w:style>
  <w:style w:type="paragraph" w:customStyle="1" w:styleId="head-ctext">
    <w:name w:val="head-c text"/>
    <w:basedOn w:val="Normal"/>
    <w:rsid w:val="00A00B12"/>
    <w:pPr>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s>
      <w:autoSpaceDE w:val="0"/>
      <w:autoSpaceDN w:val="0"/>
      <w:adjustRightInd w:val="0"/>
      <w:spacing w:after="240" w:line="320" w:lineRule="exact"/>
      <w:jc w:val="center"/>
      <w:outlineLvl w:val="3"/>
    </w:pPr>
    <w:rPr>
      <w:rFonts w:ascii="Times New Roman" w:hAnsi="Times New Roman"/>
      <w:lang w:val="en-GB"/>
    </w:rPr>
  </w:style>
  <w:style w:type="paragraph" w:styleId="BodyText3">
    <w:name w:val="Body Text 3"/>
    <w:basedOn w:val="Normal"/>
    <w:rsid w:val="00A00B12"/>
    <w:pPr>
      <w:widowControl w:val="0"/>
      <w:autoSpaceDE w:val="0"/>
      <w:autoSpaceDN w:val="0"/>
      <w:adjustRightInd w:val="0"/>
      <w:spacing w:after="240" w:line="320" w:lineRule="exact"/>
    </w:pPr>
    <w:rPr>
      <w:rFonts w:ascii="Times New Roman" w:hAnsi="Times New Roman"/>
      <w:sz w:val="20"/>
      <w:szCs w:val="20"/>
      <w:lang w:val="en-US"/>
    </w:rPr>
  </w:style>
  <w:style w:type="paragraph" w:customStyle="1" w:styleId="hangingbody">
    <w:name w:val="hanging body"/>
    <w:basedOn w:val="inst-body"/>
    <w:rsid w:val="00A00B12"/>
    <w:pPr>
      <w:ind w:left="720" w:hanging="720"/>
    </w:pPr>
  </w:style>
  <w:style w:type="paragraph" w:customStyle="1" w:styleId="1para">
    <w:name w:val="[1] para"/>
    <w:basedOn w:val="Normal"/>
    <w:autoRedefine/>
    <w:rsid w:val="00A00B12"/>
    <w:pPr>
      <w:tabs>
        <w:tab w:val="num" w:pos="360"/>
        <w:tab w:val="left" w:pos="1440"/>
      </w:tabs>
    </w:pPr>
    <w:rPr>
      <w:rFonts w:cs="Arial"/>
      <w:szCs w:val="20"/>
      <w:lang w:val="en-US"/>
    </w:rPr>
  </w:style>
  <w:style w:type="paragraph" w:styleId="Subtitle">
    <w:name w:val="Subtitle"/>
    <w:basedOn w:val="Normal"/>
    <w:qFormat/>
    <w:rsid w:val="00A00B12"/>
    <w:pPr>
      <w:jc w:val="right"/>
    </w:pPr>
    <w:rPr>
      <w:rFonts w:ascii="Times New Roman" w:hAnsi="Times New Roman"/>
      <w:b/>
      <w:caps/>
      <w:sz w:val="28"/>
      <w:szCs w:val="20"/>
      <w:lang w:val="en-US"/>
    </w:rPr>
  </w:style>
  <w:style w:type="paragraph" w:styleId="BalloonText">
    <w:name w:val="Balloon Text"/>
    <w:basedOn w:val="Normal"/>
    <w:semiHidden/>
    <w:rsid w:val="00A305DA"/>
    <w:rPr>
      <w:rFonts w:ascii="Tahoma" w:hAnsi="Tahoma" w:cs="Tahoma"/>
      <w:sz w:val="16"/>
      <w:szCs w:val="16"/>
    </w:rPr>
  </w:style>
  <w:style w:type="paragraph" w:customStyle="1" w:styleId="loose">
    <w:name w:val="loose"/>
    <w:basedOn w:val="Normal"/>
    <w:rsid w:val="00031358"/>
    <w:pPr>
      <w:spacing w:before="210"/>
    </w:pPr>
    <w:rPr>
      <w:rFonts w:ascii="Times New Roman" w:hAnsi="Times New Roman"/>
      <w:lang w:eastAsia="en-CA"/>
    </w:rPr>
  </w:style>
  <w:style w:type="character" w:customStyle="1" w:styleId="verdana">
    <w:name w:val="verdana"/>
    <w:basedOn w:val="DefaultParagraphFont"/>
    <w:rsid w:val="00156286"/>
  </w:style>
  <w:style w:type="character" w:customStyle="1" w:styleId="hit">
    <w:name w:val="hit"/>
    <w:basedOn w:val="DefaultParagraphFont"/>
    <w:rsid w:val="0015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6993">
      <w:bodyDiv w:val="1"/>
      <w:marLeft w:val="0"/>
      <w:marRight w:val="0"/>
      <w:marTop w:val="0"/>
      <w:marBottom w:val="0"/>
      <w:divBdr>
        <w:top w:val="none" w:sz="0" w:space="0" w:color="auto"/>
        <w:left w:val="none" w:sz="0" w:space="0" w:color="auto"/>
        <w:bottom w:val="none" w:sz="0" w:space="0" w:color="auto"/>
        <w:right w:val="none" w:sz="0" w:space="0" w:color="auto"/>
      </w:divBdr>
      <w:divsChild>
        <w:div w:id="121995123">
          <w:marLeft w:val="75"/>
          <w:marRight w:val="75"/>
          <w:marTop w:val="0"/>
          <w:marBottom w:val="0"/>
          <w:divBdr>
            <w:top w:val="none" w:sz="0" w:space="0" w:color="auto"/>
            <w:left w:val="none" w:sz="0" w:space="0" w:color="auto"/>
            <w:bottom w:val="none" w:sz="0" w:space="0" w:color="auto"/>
            <w:right w:val="none" w:sz="0" w:space="0" w:color="auto"/>
          </w:divBdr>
          <w:divsChild>
            <w:div w:id="996616899">
              <w:marLeft w:val="0"/>
              <w:marRight w:val="0"/>
              <w:marTop w:val="0"/>
              <w:marBottom w:val="0"/>
              <w:divBdr>
                <w:top w:val="none" w:sz="0" w:space="0" w:color="auto"/>
                <w:left w:val="none" w:sz="0" w:space="0" w:color="auto"/>
                <w:bottom w:val="none" w:sz="0" w:space="0" w:color="auto"/>
                <w:right w:val="none" w:sz="0" w:space="0" w:color="auto"/>
              </w:divBdr>
              <w:divsChild>
                <w:div w:id="14083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2013-03-27T22:05:00Z</dcterms:created>
  <dcterms:modified xsi:type="dcterms:W3CDTF">2013-03-27T22:05:00Z</dcterms:modified>
</cp:coreProperties>
</file>